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附件2</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jc w:val="center"/>
        <w:rPr>
          <w:rFonts w:hint="eastAsia" w:ascii="宋体" w:hAnsi="宋体"/>
          <w:sz w:val="44"/>
          <w:szCs w:val="44"/>
        </w:rPr>
      </w:pPr>
      <w:r>
        <w:rPr>
          <w:rFonts w:hint="eastAsia" w:ascii="宋体" w:hAnsi="宋体"/>
          <w:sz w:val="44"/>
          <w:szCs w:val="44"/>
        </w:rPr>
        <w:t>省民族和宗教委音像记录事项清单</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深入贯彻落实《辽宁省全面推行行政执法公示制度执法全过程记录制度重大执法决定法制审核制度实施方案》（辽政办发[2019]13号）任务要求，结合我委行政权责事项清单，经研究，确定我委适用音像记录事项清单如下：</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1.对清真食品生产经营活动的检查；</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2.对宗教活动场所遵守法律、法规、规章等情况的检查；</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3.对宗教活动场所筹备设立进展情况的检查；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4.处置民族宗教领域投诉、举报案件；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5.在违法案件查处过程中，组织开展调查取证；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6.对执法文书采取留置送达措施的；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7.实施行政强制措施；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8.其他现场执法办案活动。</w:t>
      </w:r>
    </w:p>
    <w:p>
      <w:pPr>
        <w:adjustRightInd w:val="0"/>
        <w:snapToGrid w:val="0"/>
        <w:spacing w:line="360" w:lineRule="auto"/>
        <w:rPr>
          <w:rFonts w:hint="eastAsia" w:ascii="仿宋" w:hAnsi="仿宋" w:eastAsia="仿宋"/>
          <w:sz w:val="32"/>
          <w:szCs w:val="32"/>
        </w:rPr>
      </w:pPr>
    </w:p>
    <w:p>
      <w:pPr>
        <w:adjustRightInd w:val="0"/>
        <w:snapToGrid w:val="0"/>
        <w:spacing w:line="360" w:lineRule="auto"/>
        <w:rPr>
          <w:rFonts w:hint="eastAsia" w:ascii="仿宋" w:hAnsi="仿宋" w:eastAsia="仿宋"/>
          <w:sz w:val="32"/>
          <w:szCs w:val="32"/>
        </w:rPr>
      </w:pPr>
    </w:p>
    <w:p>
      <w:pPr>
        <w:adjustRightInd w:val="0"/>
        <w:snapToGrid w:val="0"/>
        <w:spacing w:line="360" w:lineRule="auto"/>
        <w:rPr>
          <w:rFonts w:hint="eastAsia" w:ascii="仿宋" w:hAnsi="仿宋" w:eastAsia="仿宋"/>
          <w:sz w:val="32"/>
          <w:szCs w:val="32"/>
        </w:rPr>
      </w:pPr>
    </w:p>
    <w:p>
      <w:pPr>
        <w:adjustRightInd w:val="0"/>
        <w:snapToGrid w:val="0"/>
        <w:spacing w:line="360" w:lineRule="auto"/>
        <w:rPr>
          <w:rFonts w:hint="eastAsia" w:ascii="仿宋" w:hAnsi="仿宋" w:eastAsia="仿宋"/>
          <w:sz w:val="32"/>
          <w:szCs w:val="32"/>
        </w:rPr>
      </w:pPr>
    </w:p>
    <w:p>
      <w:pPr>
        <w:adjustRightInd w:val="0"/>
        <w:snapToGrid w:val="0"/>
        <w:spacing w:line="360" w:lineRule="auto"/>
        <w:rPr>
          <w:rFonts w:hint="eastAsia"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C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2019-12-09T01:03:25Z</dcterms:created>
  <dc:creator>戌风</dc:creator>
  <cp:lastModifiedBy>楠风寻梦</cp:lastModifiedBy>
  <dcterms:modified xsi:type="dcterms:W3CDTF">2019-12-09T01:03:39Z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